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EE0A1" w14:textId="77777777" w:rsidR="00FC36CD" w:rsidRPr="002F67EB" w:rsidRDefault="00FC36CD" w:rsidP="00FC36CD">
      <w:pPr>
        <w:jc w:val="center"/>
        <w:rPr>
          <w:rFonts w:ascii="HendersonSansW00-BasicLight" w:hAnsi="HendersonSansW00-BasicLight" w:cs="Arial"/>
          <w:b/>
          <w:sz w:val="26"/>
          <w:szCs w:val="28"/>
        </w:rPr>
      </w:pPr>
      <w:r w:rsidRPr="002F67EB">
        <w:rPr>
          <w:rFonts w:ascii="HendersonSansW00-BasicLight" w:hAnsi="HendersonSansW00-BasicLight" w:cs="Arial"/>
          <w:b/>
          <w:sz w:val="26"/>
          <w:szCs w:val="28"/>
        </w:rPr>
        <w:t>Plantilla específica para el planeamiento didáctico en la modalidad de lengua extranjera (experiencias de la jornada y profesores de lengua extranjera I y II Ciclos) en el nivel de Educación Preescolar</w:t>
      </w:r>
    </w:p>
    <w:p w14:paraId="775C6052" w14:textId="77777777" w:rsidR="00FC36CD" w:rsidRPr="00876E7C" w:rsidRDefault="00FC36CD" w:rsidP="00FC36CD">
      <w:pPr>
        <w:jc w:val="center"/>
        <w:rPr>
          <w:rFonts w:ascii="HendersonSansW00-BasicLight" w:hAnsi="HendersonSansW00-BasicLight" w:cs="Arial"/>
          <w:b/>
        </w:rPr>
      </w:pPr>
      <w:r w:rsidRPr="00876E7C">
        <w:rPr>
          <w:rFonts w:ascii="HendersonSansW00-BasicLight" w:eastAsia="Calibri" w:hAnsi="HendersonSansW00-BasicLight" w:cs="Arial"/>
          <w:i/>
        </w:rPr>
        <w:t>(</w:t>
      </w:r>
      <w:r>
        <w:rPr>
          <w:rFonts w:ascii="HendersonSansW00-BasicLight" w:eastAsia="Calibri" w:hAnsi="HendersonSansW00-BasicLight" w:cs="Arial"/>
          <w:i/>
        </w:rPr>
        <w:t xml:space="preserve">Puede acceder esta información en </w:t>
      </w:r>
      <w:hyperlink r:id="rId6" w:history="1">
        <w:proofErr w:type="spellStart"/>
        <w:r w:rsidRPr="00656926">
          <w:rPr>
            <w:rStyle w:val="Hipervnculo"/>
            <w:rFonts w:ascii="HendersonSansW00-BasicLight" w:eastAsia="Calibri" w:hAnsi="HendersonSansW00-BasicLight" w:cs="Arial"/>
            <w:i/>
          </w:rPr>
          <w:t>Tecnoideas</w:t>
        </w:r>
        <w:proofErr w:type="spellEnd"/>
      </w:hyperlink>
      <w:r>
        <w:rPr>
          <w:rFonts w:ascii="HendersonSansW00-BasicLight" w:eastAsia="Calibri" w:hAnsi="HendersonSansW00-BasicLight" w:cs="Arial"/>
          <w:i/>
        </w:rPr>
        <w:t xml:space="preserve"> y en el </w:t>
      </w:r>
      <w:proofErr w:type="gramStart"/>
      <w:r>
        <w:rPr>
          <w:rFonts w:ascii="HendersonSansW00-BasicLight" w:eastAsia="Calibri" w:hAnsi="HendersonSansW00-BasicLight" w:cs="Arial"/>
          <w:i/>
        </w:rPr>
        <w:t>sitio  de</w:t>
      </w:r>
      <w:proofErr w:type="gramEnd"/>
      <w:r>
        <w:rPr>
          <w:rFonts w:ascii="HendersonSansW00-BasicLight" w:eastAsia="Calibri" w:hAnsi="HendersonSansW00-BasicLight" w:cs="Arial"/>
          <w:i/>
        </w:rPr>
        <w:t xml:space="preserve"> la </w:t>
      </w:r>
      <w:hyperlink r:id="rId7" w:history="1">
        <w:r w:rsidRPr="00656926">
          <w:rPr>
            <w:rStyle w:val="Hipervnculo"/>
            <w:rFonts w:ascii="HendersonSansW00-BasicLight" w:eastAsia="Calibri" w:hAnsi="HendersonSansW00-BasicLight" w:cs="Arial"/>
            <w:i/>
          </w:rPr>
          <w:t>DDC</w:t>
        </w:r>
      </w:hyperlink>
      <w:r>
        <w:rPr>
          <w:rFonts w:ascii="HendersonSansW00-BasicLight" w:eastAsia="Calibri" w:hAnsi="HendersonSansW00-BasicLight" w:cs="Arial"/>
          <w:i/>
        </w:rPr>
        <w:t>)</w:t>
      </w:r>
    </w:p>
    <w:p w14:paraId="2DE80FEB" w14:textId="77777777" w:rsidR="00FC36CD" w:rsidRPr="002F67EB" w:rsidRDefault="00FC36CD" w:rsidP="00FC36CD">
      <w:pPr>
        <w:jc w:val="center"/>
        <w:rPr>
          <w:rFonts w:ascii="HendersonSansW00-BasicLight" w:hAnsi="HendersonSansW00-BasicLight" w:cs="Arial"/>
          <w:b/>
          <w:sz w:val="30"/>
          <w:szCs w:val="36"/>
        </w:rPr>
      </w:pPr>
      <w:r w:rsidRPr="002F67EB">
        <w:rPr>
          <w:rFonts w:ascii="HendersonSansW00-BasicLight" w:hAnsi="HendersonSansW00-BasicLight" w:cs="Arial"/>
          <w:b/>
          <w:sz w:val="30"/>
          <w:szCs w:val="36"/>
        </w:rPr>
        <w:t>Planeamiento didáctico modalidad lengua extranjera en el nivel de Educación Preescolar</w:t>
      </w:r>
      <w:r>
        <w:rPr>
          <w:rFonts w:ascii="HendersonSansW00-BasicLight" w:hAnsi="HendersonSansW00-BasicLight" w:cs="Arial"/>
          <w:b/>
          <w:sz w:val="30"/>
          <w:szCs w:val="36"/>
        </w:rPr>
        <w:t xml:space="preserve"> 202__</w:t>
      </w:r>
    </w:p>
    <w:p w14:paraId="3AB77407" w14:textId="77777777" w:rsidR="00FC36CD" w:rsidRPr="002F67EB" w:rsidRDefault="00FC36CD" w:rsidP="00FC36CD">
      <w:pPr>
        <w:rPr>
          <w:rFonts w:ascii="HendersonSansW00-BasicLight" w:hAnsi="HendersonSansW00-BasicLight" w:cs="Arial"/>
          <w:b/>
          <w:sz w:val="26"/>
          <w:szCs w:val="28"/>
        </w:rPr>
      </w:pPr>
      <w:proofErr w:type="spellStart"/>
      <w:r w:rsidRPr="002F67EB">
        <w:rPr>
          <w:rFonts w:ascii="HendersonSansW00-BasicLight" w:hAnsi="HendersonSansW00-BasicLight" w:cs="Arial"/>
          <w:b/>
          <w:sz w:val="26"/>
          <w:szCs w:val="28"/>
        </w:rPr>
        <w:t>I.Aspectos</w:t>
      </w:r>
      <w:proofErr w:type="spellEnd"/>
      <w:r w:rsidRPr="002F67EB">
        <w:rPr>
          <w:rFonts w:ascii="HendersonSansW00-BasicLight" w:hAnsi="HendersonSansW00-BasicLight" w:cs="Arial"/>
          <w:b/>
          <w:sz w:val="26"/>
          <w:szCs w:val="28"/>
        </w:rPr>
        <w:t xml:space="preserve"> administrativos</w:t>
      </w:r>
    </w:p>
    <w:tbl>
      <w:tblPr>
        <w:tblW w:w="4943" w:type="pct"/>
        <w:tblCellMar>
          <w:left w:w="0" w:type="dxa"/>
          <w:right w:w="0" w:type="dxa"/>
        </w:tblCellMar>
        <w:tblLook w:val="0000" w:firstRow="0" w:lastRow="0" w:firstColumn="0" w:lastColumn="0" w:noHBand="0" w:noVBand="0"/>
      </w:tblPr>
      <w:tblGrid>
        <w:gridCol w:w="6835"/>
        <w:gridCol w:w="3282"/>
        <w:gridCol w:w="3708"/>
      </w:tblGrid>
      <w:tr w:rsidR="00FC36CD" w:rsidRPr="00876E7C" w14:paraId="132B54DC" w14:textId="77777777" w:rsidTr="009C5FF3">
        <w:trPr>
          <w:trHeight w:val="20"/>
        </w:trPr>
        <w:tc>
          <w:tcPr>
            <w:tcW w:w="24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2AEAF93A"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Dirección Regional de Educación:</w:t>
            </w:r>
          </w:p>
        </w:tc>
        <w:tc>
          <w:tcPr>
            <w:tcW w:w="2528"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1367E0E4"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Centro educativo:</w:t>
            </w:r>
          </w:p>
        </w:tc>
      </w:tr>
      <w:tr w:rsidR="00FC36CD" w:rsidRPr="00876E7C" w14:paraId="0EAD4141" w14:textId="77777777" w:rsidTr="009C5FF3">
        <w:trPr>
          <w:trHeight w:val="20"/>
        </w:trPr>
        <w:tc>
          <w:tcPr>
            <w:tcW w:w="24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00634116"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Nombre y apellidos de la persona docente:</w:t>
            </w:r>
          </w:p>
        </w:tc>
        <w:tc>
          <w:tcPr>
            <w:tcW w:w="2528"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7AC48F34"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 xml:space="preserve">Ciclo/ modalidad: </w:t>
            </w:r>
          </w:p>
          <w:p w14:paraId="61B6B028"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Materno Infantil (Interactivo II)      </w:t>
            </w:r>
          </w:p>
          <w:p w14:paraId="3890D6E8"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Transición </w:t>
            </w:r>
          </w:p>
          <w:p w14:paraId="27915D19"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Heterogéneo</w:t>
            </w:r>
          </w:p>
        </w:tc>
      </w:tr>
      <w:tr w:rsidR="00FC36CD" w:rsidRPr="00876E7C" w14:paraId="67D8677C" w14:textId="77777777" w:rsidTr="009C5FF3">
        <w:trPr>
          <w:trHeight w:val="452"/>
        </w:trPr>
        <w:tc>
          <w:tcPr>
            <w:tcW w:w="5000" w:type="pct"/>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27AD24CB" w14:textId="77777777" w:rsidR="00FC36CD" w:rsidRPr="00876E7C" w:rsidRDefault="00FC36CD" w:rsidP="009C5FF3">
            <w:pPr>
              <w:spacing w:after="0" w:line="360" w:lineRule="auto"/>
              <w:rPr>
                <w:rFonts w:ascii="HendersonSansW00-BasicLight" w:eastAsia="Times New Roman" w:hAnsi="HendersonSansW00-BasicLight" w:cs="Arial"/>
                <w:lang w:eastAsia="es-ES"/>
              </w:rPr>
            </w:pPr>
            <w:r w:rsidRPr="00876E7C">
              <w:rPr>
                <w:rFonts w:ascii="HendersonSansW00-BasicLight" w:eastAsia="Times New Roman" w:hAnsi="HendersonSansW00-BasicLight" w:cs="Arial"/>
                <w:lang w:eastAsia="es-ES"/>
              </w:rPr>
              <w:t xml:space="preserve">Servicios: </w:t>
            </w:r>
          </w:p>
          <w:p w14:paraId="386952D8" w14:textId="77777777" w:rsidR="00FC36CD" w:rsidRPr="00876E7C" w:rsidRDefault="00FC36CD" w:rsidP="009C5FF3">
            <w:pPr>
              <w:spacing w:after="0" w:line="360" w:lineRule="auto"/>
              <w:rPr>
                <w:rFonts w:ascii="HendersonSansW00-BasicLight" w:eastAsia="Times New Roman" w:hAnsi="HendersonSansW00-BasicLight" w:cs="Arial"/>
                <w:lang w:eastAsia="es-ES"/>
              </w:rPr>
            </w:pPr>
            <w:proofErr w:type="gramStart"/>
            <w:r w:rsidRPr="00876E7C">
              <w:rPr>
                <w:rFonts w:ascii="HendersonSansW00-BasicLight" w:eastAsia="Times New Roman" w:hAnsi="HendersonSansW00-BasicLight" w:cs="Arial"/>
                <w:lang w:eastAsia="es-ES"/>
              </w:rPr>
              <w:t>(  )</w:t>
            </w:r>
            <w:proofErr w:type="gramEnd"/>
            <w:r w:rsidRPr="00876E7C">
              <w:rPr>
                <w:rFonts w:ascii="HendersonSansW00-BasicLight" w:eastAsia="Times New Roman" w:hAnsi="HendersonSansW00-BasicLight" w:cs="Arial"/>
                <w:lang w:eastAsia="es-ES"/>
              </w:rPr>
              <w:t xml:space="preserve"> Inglés </w:t>
            </w:r>
            <w:r w:rsidRPr="00876E7C">
              <w:rPr>
                <w:rFonts w:ascii="HendersonSansW00-BasicLight" w:eastAsia="Arial" w:hAnsi="HendersonSansW00-BasicLight" w:cs="Arial"/>
              </w:rPr>
              <w:t>en experiencias de la jornada</w:t>
            </w:r>
            <w:r w:rsidRPr="00876E7C">
              <w:rPr>
                <w:rFonts w:ascii="HendersonSansW00-BasicLight" w:eastAsia="Times New Roman" w:hAnsi="HendersonSansW00-BasicLight" w:cs="Arial"/>
                <w:lang w:eastAsia="es-ES"/>
              </w:rPr>
              <w:t xml:space="preserve">  </w:t>
            </w:r>
          </w:p>
          <w:p w14:paraId="3B9BECCE" w14:textId="77777777" w:rsidR="00FC36CD" w:rsidRPr="00876E7C" w:rsidRDefault="00FC36CD" w:rsidP="009C5FF3">
            <w:pPr>
              <w:spacing w:after="0" w:line="360" w:lineRule="auto"/>
              <w:rPr>
                <w:rFonts w:ascii="HendersonSansW00-BasicLight" w:eastAsia="Times New Roman" w:hAnsi="HendersonSansW00-BasicLight" w:cs="Arial"/>
                <w:lang w:eastAsia="es-ES"/>
              </w:rPr>
            </w:pPr>
            <w:proofErr w:type="gramStart"/>
            <w:r w:rsidRPr="00876E7C">
              <w:rPr>
                <w:rFonts w:ascii="HendersonSansW00-BasicLight" w:eastAsia="Times New Roman" w:hAnsi="HendersonSansW00-BasicLight" w:cs="Arial"/>
                <w:lang w:eastAsia="es-ES"/>
              </w:rPr>
              <w:t>(  )</w:t>
            </w:r>
            <w:proofErr w:type="gramEnd"/>
            <w:r w:rsidRPr="00876E7C">
              <w:rPr>
                <w:rFonts w:ascii="HendersonSansW00-BasicLight" w:eastAsia="Times New Roman" w:hAnsi="HendersonSansW00-BasicLight" w:cs="Arial"/>
                <w:lang w:eastAsia="es-ES"/>
              </w:rPr>
              <w:t xml:space="preserve"> Ampliación por Profesor de Lengua Extranjera de I y II Ciclo (PIE)</w:t>
            </w:r>
          </w:p>
        </w:tc>
      </w:tr>
      <w:tr w:rsidR="00FC36CD" w:rsidRPr="00876E7C" w14:paraId="34A5D8B6" w14:textId="77777777" w:rsidTr="009C5FF3">
        <w:trPr>
          <w:trHeight w:val="20"/>
        </w:trPr>
        <w:tc>
          <w:tcPr>
            <w:tcW w:w="2472"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7406F947"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Curso lectivo:</w:t>
            </w:r>
          </w:p>
        </w:tc>
        <w:tc>
          <w:tcPr>
            <w:tcW w:w="1187"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4A9614F3"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 xml:space="preserve">Periodicidad: </w:t>
            </w:r>
          </w:p>
          <w:p w14:paraId="7AAE875D"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Semanal </w:t>
            </w:r>
          </w:p>
          <w:p w14:paraId="148BF9DE"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Quincenal     </w:t>
            </w:r>
          </w:p>
          <w:p w14:paraId="58FD6F85"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Mensual</w:t>
            </w:r>
          </w:p>
        </w:tc>
        <w:tc>
          <w:tcPr>
            <w:tcW w:w="1340" w:type="pct"/>
            <w:tcBorders>
              <w:top w:val="single" w:sz="8" w:space="0" w:color="000000"/>
              <w:left w:val="single" w:sz="8" w:space="0" w:color="000000"/>
              <w:bottom w:val="single" w:sz="8" w:space="0" w:color="000000"/>
              <w:right w:val="single" w:sz="8" w:space="0" w:color="000000"/>
            </w:tcBorders>
            <w:shd w:val="clear" w:color="auto" w:fill="FFFFFF"/>
            <w:tcMar>
              <w:top w:w="15" w:type="dxa"/>
              <w:left w:w="98" w:type="dxa"/>
              <w:bottom w:w="0" w:type="dxa"/>
              <w:right w:w="98" w:type="dxa"/>
            </w:tcMar>
          </w:tcPr>
          <w:p w14:paraId="0DAC3229"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Trimestre:</w:t>
            </w:r>
          </w:p>
          <w:p w14:paraId="220D1781"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 xml:space="preserve">I </w:t>
            </w: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w:t>
            </w:r>
          </w:p>
          <w:p w14:paraId="6B4B63B6"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 xml:space="preserve">II </w:t>
            </w:r>
            <w:proofErr w:type="gramStart"/>
            <w:r w:rsidRPr="00876E7C">
              <w:rPr>
                <w:rFonts w:ascii="HendersonSansW00-BasicLight" w:eastAsia="Times New Roman" w:hAnsi="HendersonSansW00-BasicLight" w:cs="Arial"/>
                <w:bCs/>
                <w:lang w:eastAsia="es-ES"/>
              </w:rPr>
              <w:t>( )</w:t>
            </w:r>
            <w:proofErr w:type="gramEnd"/>
            <w:r w:rsidRPr="00876E7C">
              <w:rPr>
                <w:rFonts w:ascii="HendersonSansW00-BasicLight" w:eastAsia="Times New Roman" w:hAnsi="HendersonSansW00-BasicLight" w:cs="Arial"/>
                <w:bCs/>
                <w:lang w:eastAsia="es-ES"/>
              </w:rPr>
              <w:t xml:space="preserve">   </w:t>
            </w:r>
          </w:p>
          <w:p w14:paraId="463D31A1" w14:textId="77777777" w:rsidR="00FC36CD" w:rsidRPr="00876E7C" w:rsidRDefault="00FC36CD" w:rsidP="009C5FF3">
            <w:pPr>
              <w:spacing w:after="0" w:line="360" w:lineRule="auto"/>
              <w:rPr>
                <w:rFonts w:ascii="HendersonSansW00-BasicLight" w:eastAsia="Times New Roman" w:hAnsi="HendersonSansW00-BasicLight" w:cs="Arial"/>
                <w:bCs/>
                <w:lang w:eastAsia="es-ES"/>
              </w:rPr>
            </w:pPr>
            <w:r w:rsidRPr="00876E7C">
              <w:rPr>
                <w:rFonts w:ascii="HendersonSansW00-BasicLight" w:eastAsia="Times New Roman" w:hAnsi="HendersonSansW00-BasicLight" w:cs="Arial"/>
                <w:bCs/>
                <w:lang w:eastAsia="es-ES"/>
              </w:rPr>
              <w:t xml:space="preserve">III </w:t>
            </w:r>
            <w:proofErr w:type="gramStart"/>
            <w:r w:rsidRPr="00876E7C">
              <w:rPr>
                <w:rFonts w:ascii="HendersonSansW00-BasicLight" w:eastAsia="Times New Roman" w:hAnsi="HendersonSansW00-BasicLight" w:cs="Arial"/>
                <w:bCs/>
                <w:lang w:eastAsia="es-ES"/>
              </w:rPr>
              <w:t>( )</w:t>
            </w:r>
            <w:proofErr w:type="gramEnd"/>
          </w:p>
        </w:tc>
      </w:tr>
    </w:tbl>
    <w:p w14:paraId="5977952F" w14:textId="77777777" w:rsidR="00FC36CD" w:rsidRDefault="00FC36CD" w:rsidP="00FC36CD">
      <w:pPr>
        <w:rPr>
          <w:rFonts w:ascii="HendersonSansW00-BasicLight" w:hAnsi="HendersonSansW00-BasicLight" w:cs="Arial"/>
          <w:b/>
          <w:lang w:val="en-US"/>
        </w:rPr>
      </w:pPr>
    </w:p>
    <w:p w14:paraId="5BA30876" w14:textId="77777777" w:rsidR="00FC36CD" w:rsidRPr="00876E7C" w:rsidRDefault="00FC36CD" w:rsidP="00FC36CD">
      <w:pPr>
        <w:rPr>
          <w:rFonts w:ascii="HendersonSansW00-BasicLight" w:hAnsi="HendersonSansW00-BasicLight" w:cs="Arial"/>
          <w:b/>
        </w:rPr>
      </w:pPr>
      <w:r w:rsidRPr="00876E7C">
        <w:rPr>
          <w:rFonts w:ascii="HendersonSansW00-BasicLight" w:hAnsi="HendersonSansW00-BasicLight" w:cs="Arial"/>
          <w:b/>
        </w:rPr>
        <w:t xml:space="preserve">Competencia general (marque con una equis la competencia según la distribución establecida para el nivel Educación Preescolar): </w:t>
      </w:r>
    </w:p>
    <w:p w14:paraId="18886F49" w14:textId="77777777" w:rsidR="00FC36CD" w:rsidRPr="00876E7C" w:rsidRDefault="00FC36CD" w:rsidP="00FC36CD">
      <w:pPr>
        <w:rPr>
          <w:rFonts w:ascii="HendersonSansW00-BasicLight" w:eastAsia="Calibri" w:hAnsi="HendersonSansW00-BasicLight" w:cs="Arial"/>
          <w:lang w:val="es-ES"/>
        </w:rPr>
      </w:pPr>
      <w:proofErr w:type="gramStart"/>
      <w:r w:rsidRPr="00876E7C">
        <w:rPr>
          <w:rFonts w:ascii="HendersonSansW00-BasicLight" w:eastAsia="Calibri" w:hAnsi="HendersonSansW00-BasicLight" w:cs="Arial"/>
          <w:lang w:val="es-ES"/>
        </w:rPr>
        <w:lastRenderedPageBreak/>
        <w:t xml:space="preserve">(  </w:t>
      </w:r>
      <w:proofErr w:type="gramEnd"/>
      <w:r w:rsidRPr="00876E7C">
        <w:rPr>
          <w:rFonts w:ascii="HendersonSansW00-BasicLight" w:eastAsia="Calibri" w:hAnsi="HendersonSansW00-BasicLight" w:cs="Arial"/>
          <w:lang w:val="es-ES"/>
        </w:rPr>
        <w:t xml:space="preserve"> ) Ciudadanía responsable y solidaria.</w:t>
      </w:r>
    </w:p>
    <w:p w14:paraId="452203E2" w14:textId="77777777" w:rsidR="00FC36CD" w:rsidRPr="00876E7C" w:rsidRDefault="00FC36CD" w:rsidP="00FC36CD">
      <w:pPr>
        <w:rPr>
          <w:rFonts w:ascii="HendersonSansW00-BasicLight" w:eastAsia="Calibri" w:hAnsi="HendersonSansW00-BasicLight" w:cs="Arial"/>
          <w:lang w:val="es-ES"/>
        </w:rPr>
      </w:pPr>
      <w:proofErr w:type="gramStart"/>
      <w:r w:rsidRPr="00876E7C">
        <w:rPr>
          <w:rFonts w:ascii="HendersonSansW00-BasicLight" w:eastAsia="Calibri" w:hAnsi="HendersonSansW00-BasicLight" w:cs="Arial"/>
          <w:lang w:val="es-ES"/>
        </w:rPr>
        <w:t xml:space="preserve">(  </w:t>
      </w:r>
      <w:proofErr w:type="gramEnd"/>
      <w:r w:rsidRPr="00876E7C">
        <w:rPr>
          <w:rFonts w:ascii="HendersonSansW00-BasicLight" w:eastAsia="Calibri" w:hAnsi="HendersonSansW00-BasicLight" w:cs="Arial"/>
          <w:lang w:val="es-ES"/>
        </w:rPr>
        <w:t xml:space="preserve"> ) Competencias para la vida.</w:t>
      </w:r>
    </w:p>
    <w:p w14:paraId="44FBD011" w14:textId="77777777" w:rsidR="00FC36CD" w:rsidRPr="00876E7C" w:rsidRDefault="00FC36CD" w:rsidP="00FC36CD">
      <w:pPr>
        <w:rPr>
          <w:rFonts w:ascii="HendersonSansW00-BasicLight" w:hAnsi="HendersonSansW00-BasicLight" w:cs="Arial"/>
        </w:rPr>
      </w:pPr>
      <w:proofErr w:type="gramStart"/>
      <w:r w:rsidRPr="00876E7C">
        <w:rPr>
          <w:rFonts w:ascii="HendersonSansW00-BasicLight" w:eastAsia="Calibri" w:hAnsi="HendersonSansW00-BasicLight" w:cs="Arial"/>
          <w:lang w:val="es-ES"/>
        </w:rPr>
        <w:t xml:space="preserve">(  </w:t>
      </w:r>
      <w:proofErr w:type="gramEnd"/>
      <w:r w:rsidRPr="00876E7C">
        <w:rPr>
          <w:rFonts w:ascii="HendersonSansW00-BasicLight" w:eastAsia="Calibri" w:hAnsi="HendersonSansW00-BasicLight" w:cs="Arial"/>
          <w:lang w:val="es-ES"/>
        </w:rPr>
        <w:t xml:space="preserve"> ) Competencias para la empleabilidad digna.</w:t>
      </w:r>
    </w:p>
    <w:p w14:paraId="0B69E349" w14:textId="77777777" w:rsidR="00FC36CD" w:rsidRPr="00876E7C" w:rsidRDefault="00FC36CD" w:rsidP="00FC36CD">
      <w:pPr>
        <w:spacing w:after="0"/>
        <w:rPr>
          <w:rFonts w:ascii="HendersonSansW00-BasicLight" w:hAnsi="HendersonSansW00-BasicLight" w:cs="Arial"/>
          <w:b/>
        </w:rPr>
      </w:pPr>
    </w:p>
    <w:p w14:paraId="78412974" w14:textId="77777777" w:rsidR="00FC36CD" w:rsidRPr="00876E7C" w:rsidRDefault="00FC36CD" w:rsidP="00FC36CD">
      <w:pPr>
        <w:rPr>
          <w:rFonts w:ascii="HendersonSansW00-BasicLight" w:hAnsi="HendersonSansW00-BasicLight" w:cs="Arial"/>
          <w:b/>
        </w:rPr>
      </w:pPr>
      <w:r w:rsidRPr="00876E7C">
        <w:rPr>
          <w:rFonts w:ascii="HendersonSansW00-BasicLight" w:hAnsi="HendersonSansW00-BasicLight" w:cs="Arial"/>
          <w:b/>
        </w:rPr>
        <w:t>Sección I. Habilidades en el marco de la política curricular</w:t>
      </w:r>
    </w:p>
    <w:tbl>
      <w:tblPr>
        <w:tblW w:w="492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EAADB"/>
        <w:tblLook w:val="0000" w:firstRow="0" w:lastRow="0" w:firstColumn="0" w:lastColumn="0" w:noHBand="0" w:noVBand="0"/>
      </w:tblPr>
      <w:tblGrid>
        <w:gridCol w:w="3994"/>
        <w:gridCol w:w="9787"/>
      </w:tblGrid>
      <w:tr w:rsidR="00FC36CD" w:rsidRPr="00876E7C" w14:paraId="3D4251A9" w14:textId="77777777" w:rsidTr="009C5FF3">
        <w:tc>
          <w:tcPr>
            <w:tcW w:w="1449" w:type="pct"/>
            <w:shd w:val="clear" w:color="auto" w:fill="8EAADB"/>
            <w:vAlign w:val="center"/>
          </w:tcPr>
          <w:p w14:paraId="76E04158" w14:textId="77777777" w:rsidR="00FC36CD" w:rsidRPr="00876E7C" w:rsidRDefault="00FC36CD" w:rsidP="009C5FF3">
            <w:pPr>
              <w:spacing w:after="0" w:line="240" w:lineRule="auto"/>
              <w:jc w:val="center"/>
              <w:rPr>
                <w:rFonts w:ascii="HendersonSansW00-BasicLight" w:eastAsia="Calibri" w:hAnsi="HendersonSansW00-BasicLight" w:cs="Arial"/>
                <w:b/>
                <w:lang w:eastAsia="en-US"/>
              </w:rPr>
            </w:pPr>
            <w:r w:rsidRPr="00876E7C">
              <w:rPr>
                <w:rFonts w:ascii="HendersonSansW00-BasicLight" w:eastAsia="Calibri" w:hAnsi="HendersonSansW00-BasicLight" w:cs="Arial"/>
                <w:b/>
                <w:lang w:eastAsia="en-US"/>
              </w:rPr>
              <w:t>Habilidad y su definición</w:t>
            </w:r>
          </w:p>
        </w:tc>
        <w:tc>
          <w:tcPr>
            <w:tcW w:w="3551" w:type="pct"/>
            <w:shd w:val="clear" w:color="auto" w:fill="8EAADB"/>
            <w:vAlign w:val="center"/>
          </w:tcPr>
          <w:p w14:paraId="1437D711" w14:textId="77777777" w:rsidR="00FC36CD" w:rsidRPr="00876E7C" w:rsidRDefault="00FC36CD" w:rsidP="009C5FF3">
            <w:pPr>
              <w:spacing w:after="0" w:line="240" w:lineRule="auto"/>
              <w:jc w:val="center"/>
              <w:rPr>
                <w:rFonts w:ascii="HendersonSansW00-BasicLight" w:eastAsia="Calibri" w:hAnsi="HendersonSansW00-BasicLight" w:cs="Arial"/>
                <w:b/>
                <w:lang w:eastAsia="en-US"/>
              </w:rPr>
            </w:pPr>
            <w:r w:rsidRPr="00876E7C">
              <w:rPr>
                <w:rFonts w:ascii="HendersonSansW00-BasicLight" w:eastAsia="Calibri" w:hAnsi="HendersonSansW00-BasicLight" w:cs="Arial"/>
                <w:b/>
                <w:lang w:eastAsia="en-US"/>
              </w:rPr>
              <w:t>Indicador (Pautas para el desarrollo de la habilidad)</w:t>
            </w:r>
          </w:p>
        </w:tc>
      </w:tr>
      <w:tr w:rsidR="00FC36CD" w:rsidRPr="00876E7C" w14:paraId="0AF48DC3" w14:textId="77777777" w:rsidTr="009C5FF3">
        <w:trPr>
          <w:trHeight w:val="490"/>
        </w:trPr>
        <w:tc>
          <w:tcPr>
            <w:tcW w:w="1449" w:type="pct"/>
            <w:vMerge w:val="restart"/>
            <w:vAlign w:val="center"/>
          </w:tcPr>
          <w:p w14:paraId="344399DC" w14:textId="77777777" w:rsidR="00FC36CD" w:rsidRPr="00876E7C" w:rsidRDefault="00FC36CD" w:rsidP="009C5FF3">
            <w:pPr>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Habilidad</w:t>
            </w:r>
          </w:p>
          <w:p w14:paraId="2072621E" w14:textId="77777777" w:rsidR="00FC36CD" w:rsidRPr="00876E7C" w:rsidRDefault="00FC36CD" w:rsidP="009C5FF3">
            <w:pPr>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El contenido de esta columna se establece en la plantilla de planeamiento, para orientar a la persona docente y no debe ser modificad</w:t>
            </w:r>
            <w:r>
              <w:rPr>
                <w:rFonts w:ascii="HendersonSansW00-BasicLight" w:eastAsia="Arial MT" w:hAnsi="HendersonSansW00-BasicLight" w:cs="Arial"/>
                <w:lang w:val="es-ES" w:eastAsia="en-US"/>
              </w:rPr>
              <w:t>o</w:t>
            </w:r>
            <w:r w:rsidRPr="00876E7C">
              <w:rPr>
                <w:rFonts w:ascii="HendersonSansW00-BasicLight" w:eastAsia="Arial MT" w:hAnsi="HendersonSansW00-BasicLight" w:cs="Arial"/>
                <w:lang w:val="es-ES" w:eastAsia="en-US"/>
              </w:rPr>
              <w:t>. Presenta el nombre de la habilidad, según el documento “Orientaciones para la mediación pedagógica por habilidades”.</w:t>
            </w:r>
          </w:p>
        </w:tc>
        <w:tc>
          <w:tcPr>
            <w:tcW w:w="3551" w:type="pct"/>
            <w:vAlign w:val="center"/>
          </w:tcPr>
          <w:p w14:paraId="5F2AE087" w14:textId="77777777" w:rsidR="00FC36CD" w:rsidRPr="00876E7C" w:rsidRDefault="00FC36CD" w:rsidP="009C5FF3">
            <w:pPr>
              <w:widowControl w:val="0"/>
              <w:autoSpaceDE w:val="0"/>
              <w:autoSpaceDN w:val="0"/>
              <w:spacing w:after="0" w:line="360" w:lineRule="auto"/>
              <w:ind w:right="97"/>
              <w:jc w:val="both"/>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El contenido de esta columna se establece en la plantilla de planeamiento, para orientar a la persona docente y no debe ser modificad</w:t>
            </w:r>
            <w:r>
              <w:rPr>
                <w:rFonts w:ascii="HendersonSansW00-BasicLight" w:eastAsia="Arial MT" w:hAnsi="HendersonSansW00-BasicLight" w:cs="Arial"/>
                <w:lang w:val="es-ES" w:eastAsia="en-US"/>
              </w:rPr>
              <w:t>o</w:t>
            </w:r>
            <w:r w:rsidRPr="00876E7C">
              <w:rPr>
                <w:rFonts w:ascii="HendersonSansW00-BasicLight" w:eastAsia="Arial MT" w:hAnsi="HendersonSansW00-BasicLight" w:cs="Arial"/>
                <w:lang w:val="es-ES" w:eastAsia="en-US"/>
              </w:rPr>
              <w:t>. Presenta las pautas para el desarrollo de la habilidad, según el documento “Orientaciones para la mediación</w:t>
            </w:r>
            <w:r>
              <w:rPr>
                <w:rFonts w:ascii="HendersonSansW00-BasicLight" w:eastAsia="Arial MT" w:hAnsi="HendersonSansW00-BasicLight" w:cs="Arial"/>
                <w:lang w:val="es-ES" w:eastAsia="en-US"/>
              </w:rPr>
              <w:t xml:space="preserve"> </w:t>
            </w:r>
            <w:r w:rsidRPr="00876E7C">
              <w:rPr>
                <w:rFonts w:ascii="HendersonSansW00-BasicLight" w:eastAsia="Arial MT" w:hAnsi="HendersonSansW00-BasicLight" w:cs="Arial"/>
                <w:lang w:val="es-ES" w:eastAsia="en-US"/>
              </w:rPr>
              <w:t>pedagógica por habilidades en el nivel de Educación Preescolar”.</w:t>
            </w:r>
          </w:p>
        </w:tc>
      </w:tr>
      <w:tr w:rsidR="00FC36CD" w:rsidRPr="00876E7C" w14:paraId="3D821755" w14:textId="77777777" w:rsidTr="009C5FF3">
        <w:trPr>
          <w:trHeight w:val="554"/>
        </w:trPr>
        <w:tc>
          <w:tcPr>
            <w:tcW w:w="1449" w:type="pct"/>
            <w:vMerge/>
            <w:vAlign w:val="center"/>
          </w:tcPr>
          <w:p w14:paraId="62EF28D6" w14:textId="77777777" w:rsidR="00FC36CD" w:rsidRPr="00876E7C" w:rsidRDefault="00FC36CD" w:rsidP="009C5FF3">
            <w:pPr>
              <w:spacing w:after="0" w:line="360" w:lineRule="auto"/>
              <w:jc w:val="center"/>
              <w:rPr>
                <w:rFonts w:ascii="HendersonSansW00-BasicLight" w:eastAsia="Arial MT" w:hAnsi="HendersonSansW00-BasicLight" w:cs="Arial"/>
                <w:lang w:val="es-ES" w:eastAsia="en-US"/>
              </w:rPr>
            </w:pPr>
          </w:p>
        </w:tc>
        <w:tc>
          <w:tcPr>
            <w:tcW w:w="3551" w:type="pct"/>
            <w:vAlign w:val="center"/>
          </w:tcPr>
          <w:p w14:paraId="0BFE8006" w14:textId="77777777" w:rsidR="00FC36CD" w:rsidRPr="00876E7C" w:rsidRDefault="00FC36CD" w:rsidP="009C5FF3">
            <w:pPr>
              <w:widowControl w:val="0"/>
              <w:autoSpaceDE w:val="0"/>
              <w:autoSpaceDN w:val="0"/>
              <w:spacing w:after="0" w:line="360" w:lineRule="auto"/>
              <w:ind w:right="97"/>
              <w:jc w:val="both"/>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La persona docente traslada la información del documento “Orientaciones para la mediación pedagógica por habilidades en el nivel de Educación Preescolar”.</w:t>
            </w:r>
          </w:p>
        </w:tc>
      </w:tr>
      <w:tr w:rsidR="00FC36CD" w:rsidRPr="00876E7C" w14:paraId="4CFD4598" w14:textId="77777777" w:rsidTr="009C5FF3">
        <w:trPr>
          <w:trHeight w:val="420"/>
        </w:trPr>
        <w:tc>
          <w:tcPr>
            <w:tcW w:w="1449" w:type="pct"/>
            <w:vMerge/>
            <w:tcBorders>
              <w:bottom w:val="single" w:sz="4" w:space="0" w:color="auto"/>
            </w:tcBorders>
            <w:vAlign w:val="center"/>
          </w:tcPr>
          <w:p w14:paraId="42C5F7B6" w14:textId="77777777" w:rsidR="00FC36CD" w:rsidRPr="00876E7C" w:rsidRDefault="00FC36CD" w:rsidP="009C5FF3">
            <w:pPr>
              <w:spacing w:after="0" w:line="360" w:lineRule="auto"/>
              <w:jc w:val="center"/>
              <w:rPr>
                <w:rFonts w:ascii="HendersonSansW00-BasicLight" w:eastAsia="Arial MT" w:hAnsi="HendersonSansW00-BasicLight" w:cs="Arial"/>
                <w:lang w:val="es-ES" w:eastAsia="en-US"/>
              </w:rPr>
            </w:pPr>
          </w:p>
        </w:tc>
        <w:tc>
          <w:tcPr>
            <w:tcW w:w="3551" w:type="pct"/>
            <w:vAlign w:val="center"/>
          </w:tcPr>
          <w:p w14:paraId="3FBCE72B" w14:textId="77777777" w:rsidR="00FC36CD" w:rsidRPr="00876E7C" w:rsidRDefault="00FC36CD" w:rsidP="009C5FF3">
            <w:pPr>
              <w:spacing w:line="360" w:lineRule="auto"/>
              <w:rPr>
                <w:rFonts w:ascii="HendersonSansW00-BasicLight" w:eastAsia="Arial MT" w:hAnsi="HendersonSansW00-BasicLight" w:cs="Arial"/>
                <w:lang w:val="es-ES" w:eastAsia="en-US"/>
              </w:rPr>
            </w:pPr>
          </w:p>
        </w:tc>
      </w:tr>
    </w:tbl>
    <w:p w14:paraId="2B63C46B" w14:textId="77777777" w:rsidR="00FC36CD" w:rsidRPr="00876E7C" w:rsidRDefault="00FC36CD" w:rsidP="00FC36CD">
      <w:pPr>
        <w:spacing w:after="255"/>
        <w:contextualSpacing/>
        <w:rPr>
          <w:rFonts w:ascii="HendersonSansW00-BasicLight" w:eastAsia="Arial MT" w:hAnsi="HendersonSansW00-BasicLight" w:cs="Arial"/>
          <w:lang w:val="es-ES" w:eastAsia="en-US"/>
        </w:rPr>
      </w:pPr>
    </w:p>
    <w:p w14:paraId="2D72FB70" w14:textId="77777777" w:rsidR="00FC36CD" w:rsidRPr="00876E7C" w:rsidRDefault="00FC36CD" w:rsidP="00FC36CD">
      <w:pPr>
        <w:spacing w:after="255"/>
        <w:contextualSpacing/>
        <w:rPr>
          <w:rFonts w:ascii="HendersonSansW00-BasicLight" w:eastAsia="Arial MT" w:hAnsi="HendersonSansW00-BasicLight" w:cs="Arial"/>
          <w:lang w:val="es-ES" w:eastAsia="en-US"/>
        </w:rPr>
      </w:pPr>
    </w:p>
    <w:p w14:paraId="2F24C4DD" w14:textId="77777777" w:rsidR="00FC36CD" w:rsidRDefault="00FC36CD" w:rsidP="00FC36CD">
      <w:pPr>
        <w:spacing w:after="255"/>
        <w:contextualSpacing/>
        <w:rPr>
          <w:rFonts w:ascii="HendersonSansW00-BasicLight" w:eastAsia="Arial MT" w:hAnsi="HendersonSansW00-BasicLight" w:cs="Arial"/>
          <w:lang w:val="es-ES" w:eastAsia="en-US"/>
        </w:rPr>
      </w:pPr>
    </w:p>
    <w:p w14:paraId="30A12F92" w14:textId="77777777" w:rsidR="00FC36CD" w:rsidRPr="00876E7C" w:rsidRDefault="00FC36CD" w:rsidP="00FC36CD">
      <w:pPr>
        <w:spacing w:after="255"/>
        <w:contextualSpacing/>
        <w:rPr>
          <w:rFonts w:ascii="HendersonSansW00-BasicLight" w:eastAsia="Arial MT" w:hAnsi="HendersonSansW00-BasicLight" w:cs="Arial"/>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0"/>
        <w:gridCol w:w="9984"/>
      </w:tblGrid>
      <w:tr w:rsidR="00FC36CD" w:rsidRPr="00876E7C" w14:paraId="29E2818E" w14:textId="77777777" w:rsidTr="009C5FF3">
        <w:trPr>
          <w:trHeight w:val="822"/>
        </w:trPr>
        <w:tc>
          <w:tcPr>
            <w:tcW w:w="4077" w:type="dxa"/>
          </w:tcPr>
          <w:p w14:paraId="32AAD359" w14:textId="77777777" w:rsidR="00FC36CD" w:rsidRPr="00876E7C" w:rsidRDefault="00FC36CD" w:rsidP="009C5FF3">
            <w:pPr>
              <w:spacing w:after="255" w:line="360" w:lineRule="auto"/>
              <w:contextualSpacing/>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Componente del programa de estudio (Conceptual)</w:t>
            </w:r>
          </w:p>
        </w:tc>
        <w:tc>
          <w:tcPr>
            <w:tcW w:w="10206" w:type="dxa"/>
          </w:tcPr>
          <w:p w14:paraId="5E7AD8F8"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En esta columna se indica el componente del programa de estudio que se desarrollará de acuerdo con la distribución de los aprendizajes esperados.</w:t>
            </w:r>
          </w:p>
        </w:tc>
      </w:tr>
      <w:tr w:rsidR="00FC36CD" w:rsidRPr="00876E7C" w14:paraId="69C4DE79" w14:textId="77777777" w:rsidTr="009C5FF3">
        <w:trPr>
          <w:trHeight w:val="554"/>
        </w:trPr>
        <w:tc>
          <w:tcPr>
            <w:tcW w:w="4077" w:type="dxa"/>
          </w:tcPr>
          <w:p w14:paraId="7190E7CB" w14:textId="77777777" w:rsidR="00FC36CD" w:rsidRPr="00876E7C" w:rsidRDefault="00FC36CD" w:rsidP="009C5FF3">
            <w:pPr>
              <w:spacing w:before="200" w:after="200" w:line="360" w:lineRule="auto"/>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lastRenderedPageBreak/>
              <w:t>APRENDIZAJE ESPERADO</w:t>
            </w:r>
          </w:p>
        </w:tc>
        <w:tc>
          <w:tcPr>
            <w:tcW w:w="10206" w:type="dxa"/>
          </w:tcPr>
          <w:p w14:paraId="5F195453" w14:textId="77777777" w:rsidR="00FC36CD" w:rsidRPr="00876E7C" w:rsidRDefault="00FC36CD" w:rsidP="009C5FF3">
            <w:pPr>
              <w:spacing w:line="360" w:lineRule="auto"/>
              <w:rPr>
                <w:rFonts w:ascii="HendersonSansW00-BasicLight" w:eastAsia="Arial MT" w:hAnsi="HendersonSansW00-BasicLight" w:cs="Arial"/>
                <w:lang w:val="es-ES"/>
              </w:rPr>
            </w:pPr>
            <w:r w:rsidRPr="00876E7C">
              <w:rPr>
                <w:rFonts w:ascii="HendersonSansW00-BasicLight" w:eastAsia="Arial MT" w:hAnsi="HendersonSansW00-BasicLight" w:cs="Arial"/>
                <w:lang w:val="es-ES"/>
              </w:rPr>
              <w:t xml:space="preserve">Contiene el indicador del aprendizaje esperado que se </w:t>
            </w:r>
            <w:r w:rsidRPr="00876E7C">
              <w:rPr>
                <w:rFonts w:ascii="HendersonSansW00-BasicLight" w:hAnsi="HendersonSansW00-BasicLight" w:cs="Arial"/>
              </w:rPr>
              <w:t xml:space="preserve">traslada del documento “Orientaciones para la mediación </w:t>
            </w:r>
            <w:r w:rsidRPr="00876E7C">
              <w:rPr>
                <w:rFonts w:ascii="HendersonSansW00-BasicLight" w:eastAsia="Arial MT" w:hAnsi="HendersonSansW00-BasicLight" w:cs="Arial"/>
                <w:lang w:val="es-ES" w:eastAsia="en-US"/>
              </w:rPr>
              <w:t>pedagógica por habilidades en el nivel de Educación Preescolar”.</w:t>
            </w:r>
            <w:r w:rsidRPr="00876E7C">
              <w:rPr>
                <w:rFonts w:ascii="HendersonSansW00-BasicLight" w:eastAsia="Arial MT" w:hAnsi="HendersonSansW00-BasicLight" w:cs="Arial"/>
                <w:lang w:val="es-ES"/>
              </w:rPr>
              <w:t xml:space="preserve"> </w:t>
            </w:r>
          </w:p>
        </w:tc>
      </w:tr>
      <w:tr w:rsidR="00FC36CD" w:rsidRPr="00876E7C" w14:paraId="085AB093" w14:textId="77777777" w:rsidTr="009C5FF3">
        <w:trPr>
          <w:trHeight w:val="552"/>
        </w:trPr>
        <w:tc>
          <w:tcPr>
            <w:tcW w:w="4077" w:type="dxa"/>
          </w:tcPr>
          <w:p w14:paraId="4097BE7E" w14:textId="77777777" w:rsidR="00FC36CD" w:rsidRPr="00876E7C" w:rsidRDefault="00FC36CD" w:rsidP="009C5FF3">
            <w:pPr>
              <w:spacing w:line="360" w:lineRule="auto"/>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Competencia Lingüística:</w:t>
            </w:r>
          </w:p>
        </w:tc>
        <w:tc>
          <w:tcPr>
            <w:tcW w:w="10206" w:type="dxa"/>
          </w:tcPr>
          <w:p w14:paraId="1873CF41"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Seleccione la competencia lingüística y copie el indicador de la competencia que se encuentra en “Orientaciones para la adquisición de la lengua extranjera en el nivel de Educación Preescolar”</w:t>
            </w:r>
          </w:p>
          <w:p w14:paraId="2DE29E2C"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Expresión oral.</w:t>
            </w:r>
          </w:p>
          <w:p w14:paraId="69DAC23E"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 xml:space="preserve">Comprensión oral. </w:t>
            </w:r>
          </w:p>
        </w:tc>
      </w:tr>
    </w:tbl>
    <w:p w14:paraId="1A34A809" w14:textId="77777777" w:rsidR="00FC36CD" w:rsidRPr="00876E7C" w:rsidRDefault="00FC36CD" w:rsidP="00FC36CD">
      <w:pPr>
        <w:rPr>
          <w:rFonts w:ascii="HendersonSansW00-BasicLight" w:eastAsia="Arial MT" w:hAnsi="HendersonSansW00-BasicLight" w:cs="Arial"/>
          <w:lang w:val="es-ES" w:eastAsia="en-US"/>
        </w:rPr>
      </w:pPr>
    </w:p>
    <w:p w14:paraId="711F1052" w14:textId="77777777" w:rsidR="00FC36CD" w:rsidRDefault="00FC36CD" w:rsidP="00FC36CD">
      <w:pPr>
        <w:spacing w:after="0" w:line="240" w:lineRule="auto"/>
        <w:rPr>
          <w:rFonts w:ascii="HendersonSansW00-BasicLight" w:eastAsia="Arial MT" w:hAnsi="HendersonSansW00-BasicLight" w:cs="Arial"/>
          <w:b/>
          <w:bCs/>
          <w:lang w:val="es-ES" w:eastAsia="en-US"/>
        </w:rPr>
      </w:pPr>
      <w:r>
        <w:rPr>
          <w:rFonts w:ascii="HendersonSansW00-BasicLight" w:eastAsia="Arial MT" w:hAnsi="HendersonSansW00-BasicLight" w:cs="Arial"/>
          <w:b/>
          <w:bCs/>
          <w:lang w:val="es-ES" w:eastAsia="en-US"/>
        </w:rPr>
        <w:br w:type="page"/>
      </w:r>
    </w:p>
    <w:p w14:paraId="4FC21CB0" w14:textId="77777777" w:rsidR="00FC36CD" w:rsidRPr="00876E7C" w:rsidRDefault="00FC36CD" w:rsidP="00FC36CD">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lastRenderedPageBreak/>
        <w:t>Sección II. Aprendizajes esperados, indicadores de los aprendizajes esperados y estrategias de mediación.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4"/>
        <w:gridCol w:w="1937"/>
        <w:gridCol w:w="2361"/>
        <w:gridCol w:w="2643"/>
        <w:gridCol w:w="2772"/>
        <w:gridCol w:w="2577"/>
      </w:tblGrid>
      <w:tr w:rsidR="00FC36CD" w:rsidRPr="00876E7C" w14:paraId="012AC2A2" w14:textId="77777777" w:rsidTr="009C5FF3">
        <w:trPr>
          <w:tblHeader/>
        </w:trPr>
        <w:tc>
          <w:tcPr>
            <w:tcW w:w="1705" w:type="dxa"/>
          </w:tcPr>
          <w:p w14:paraId="64D3725D"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Experiencias de la jornada</w:t>
            </w:r>
          </w:p>
        </w:tc>
        <w:tc>
          <w:tcPr>
            <w:tcW w:w="1976" w:type="dxa"/>
          </w:tcPr>
          <w:p w14:paraId="1ED73F3E"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Lunes</w:t>
            </w:r>
          </w:p>
        </w:tc>
        <w:tc>
          <w:tcPr>
            <w:tcW w:w="2410" w:type="dxa"/>
          </w:tcPr>
          <w:p w14:paraId="42A1DEC0"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Martes</w:t>
            </w:r>
          </w:p>
        </w:tc>
        <w:tc>
          <w:tcPr>
            <w:tcW w:w="2693" w:type="dxa"/>
          </w:tcPr>
          <w:p w14:paraId="56EB528D"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Miércoles</w:t>
            </w:r>
          </w:p>
        </w:tc>
        <w:tc>
          <w:tcPr>
            <w:tcW w:w="2835" w:type="dxa"/>
          </w:tcPr>
          <w:p w14:paraId="1CCACD28"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Jueves</w:t>
            </w:r>
          </w:p>
        </w:tc>
        <w:tc>
          <w:tcPr>
            <w:tcW w:w="2631" w:type="dxa"/>
          </w:tcPr>
          <w:p w14:paraId="2B2D3A85"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Viernes</w:t>
            </w:r>
          </w:p>
        </w:tc>
      </w:tr>
      <w:tr w:rsidR="00FC36CD" w:rsidRPr="00876E7C" w14:paraId="4B8623B4" w14:textId="77777777" w:rsidTr="009C5FF3">
        <w:tc>
          <w:tcPr>
            <w:tcW w:w="1705" w:type="dxa"/>
          </w:tcPr>
          <w:p w14:paraId="60796ACF" w14:textId="77777777" w:rsidR="00FC36CD" w:rsidRPr="00876E7C" w:rsidRDefault="00FC36CD" w:rsidP="009C5FF3">
            <w:pPr>
              <w:spacing w:line="360" w:lineRule="auto"/>
              <w:jc w:val="center"/>
              <w:rPr>
                <w:rFonts w:ascii="HendersonSansW00-BasicLight" w:eastAsia="Arial MT" w:hAnsi="HendersonSansW00-BasicLight" w:cs="Arial"/>
                <w:b/>
                <w:bCs/>
                <w:lang w:val="es-ES" w:eastAsia="en-US"/>
              </w:rPr>
            </w:pPr>
          </w:p>
          <w:p w14:paraId="2D037C9D" w14:textId="77777777" w:rsidR="00FC36CD" w:rsidRPr="00876E7C" w:rsidRDefault="00FC36CD" w:rsidP="009C5FF3">
            <w:pPr>
              <w:spacing w:line="360" w:lineRule="auto"/>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 xml:space="preserve">Experiencias de Recibimiento e </w:t>
            </w:r>
            <w:r>
              <w:rPr>
                <w:rFonts w:ascii="HendersonSansW00-BasicLight" w:eastAsia="Arial MT" w:hAnsi="HendersonSansW00-BasicLight" w:cs="Arial"/>
                <w:b/>
                <w:bCs/>
                <w:lang w:val="es-ES" w:eastAsia="en-US"/>
              </w:rPr>
              <w:t>I</w:t>
            </w:r>
            <w:r w:rsidRPr="00876E7C">
              <w:rPr>
                <w:rFonts w:ascii="HendersonSansW00-BasicLight" w:eastAsia="Arial MT" w:hAnsi="HendersonSansW00-BasicLight" w:cs="Arial"/>
                <w:b/>
                <w:bCs/>
                <w:lang w:val="es-ES" w:eastAsia="en-US"/>
              </w:rPr>
              <w:t>niciales</w:t>
            </w:r>
          </w:p>
        </w:tc>
        <w:tc>
          <w:tcPr>
            <w:tcW w:w="12545" w:type="dxa"/>
            <w:gridSpan w:val="5"/>
            <w:vAlign w:val="center"/>
          </w:tcPr>
          <w:p w14:paraId="79D06A2C" w14:textId="77777777" w:rsidR="00FC36CD" w:rsidRPr="00876E7C" w:rsidRDefault="00FC36CD" w:rsidP="009C5FF3">
            <w:pPr>
              <w:shd w:val="clear" w:color="auto" w:fill="FFFFFF"/>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Constituye el momento de bienvenida de los niños y las niñas, el cual se caracteriza por ser afectivo y alegre, donde se promueve el saludo en inglés entre ellos y las demás personas. Puede desarrollarse dentro o fuera del aula y el estudiantado ubica sus pertenencias en el lugar determinado. También se realizan las actividades en inglés como: saludo, oración, felicitaciones de cumpleaños, juegos, canciones, expresión corporal, ejercicios de respiración y relajación, intercambio de sentimientos, emociones, sorpresas, entre otras. También se corrobora la asistencia del estudiantado, la fecha, organización de la rutina y el estado del tiempo.</w:t>
            </w:r>
          </w:p>
        </w:tc>
      </w:tr>
      <w:tr w:rsidR="00FC36CD" w:rsidRPr="00876E7C" w14:paraId="6939DC38" w14:textId="77777777" w:rsidTr="009C5FF3">
        <w:trPr>
          <w:trHeight w:val="892"/>
        </w:trPr>
        <w:tc>
          <w:tcPr>
            <w:tcW w:w="1705" w:type="dxa"/>
            <w:vAlign w:val="center"/>
          </w:tcPr>
          <w:p w14:paraId="741484D5" w14:textId="77777777" w:rsidR="00FC36CD" w:rsidRPr="00876E7C" w:rsidRDefault="00FC36CD" w:rsidP="009C5FF3">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Experiencias de Opción de Trabajo</w:t>
            </w:r>
          </w:p>
        </w:tc>
        <w:tc>
          <w:tcPr>
            <w:tcW w:w="12545" w:type="dxa"/>
            <w:gridSpan w:val="5"/>
            <w:vAlign w:val="center"/>
          </w:tcPr>
          <w:p w14:paraId="5238D46B"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Es el momento propicio para desarrollar las estrategias de mediación pedagógica para el logro de los aprendizajes esperados.</w:t>
            </w:r>
          </w:p>
        </w:tc>
      </w:tr>
      <w:tr w:rsidR="00FC36CD" w:rsidRPr="00876E7C" w14:paraId="02D310D9" w14:textId="77777777" w:rsidTr="009C5FF3">
        <w:tc>
          <w:tcPr>
            <w:tcW w:w="1705" w:type="dxa"/>
          </w:tcPr>
          <w:p w14:paraId="6BC237E4" w14:textId="77777777" w:rsidR="00FC36CD" w:rsidRPr="00876E7C" w:rsidRDefault="00FC36CD" w:rsidP="009C5FF3">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Experiencias de Alimentación e Higiene</w:t>
            </w:r>
          </w:p>
        </w:tc>
        <w:tc>
          <w:tcPr>
            <w:tcW w:w="12545" w:type="dxa"/>
            <w:gridSpan w:val="5"/>
          </w:tcPr>
          <w:p w14:paraId="14E72715" w14:textId="77777777" w:rsidR="00FC36CD" w:rsidRPr="00876E7C" w:rsidRDefault="00FC36CD" w:rsidP="009C5FF3">
            <w:pPr>
              <w:shd w:val="clear" w:color="auto" w:fill="FFFFFF"/>
              <w:spacing w:after="20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 xml:space="preserve">Es el momento en el que aprenden y utilizan las expresiones y vocabulario en inglés relacionados con la práctica de hábitos de alimentación saludable, higiene (lavado de manos y dientes), urbanidad, cortesía y normas de convivencia. </w:t>
            </w:r>
          </w:p>
        </w:tc>
      </w:tr>
      <w:tr w:rsidR="00FC36CD" w:rsidRPr="00876E7C" w14:paraId="166FC19B" w14:textId="77777777" w:rsidTr="009C5FF3">
        <w:tc>
          <w:tcPr>
            <w:tcW w:w="1705" w:type="dxa"/>
            <w:vAlign w:val="center"/>
          </w:tcPr>
          <w:p w14:paraId="7639FB7E" w14:textId="77777777" w:rsidR="00FC36CD" w:rsidRPr="00876E7C" w:rsidRDefault="00FC36CD" w:rsidP="009C5FF3">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Experiencias de Actividad Física y Movimiento</w:t>
            </w:r>
          </w:p>
        </w:tc>
        <w:tc>
          <w:tcPr>
            <w:tcW w:w="12545" w:type="dxa"/>
            <w:gridSpan w:val="5"/>
          </w:tcPr>
          <w:p w14:paraId="2972067D" w14:textId="77777777" w:rsidR="00FC36CD" w:rsidRPr="00876E7C" w:rsidRDefault="00FC36CD" w:rsidP="009C5FF3">
            <w:pPr>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Es el momento para realizar la actividad física, liberar energía y el intercambio afectivo entre el personal docente y el estudiantado. Las estrategias de mediación para el desarrollo de competencias lingüísticas en la lengua extranjera deben proponer retos cognitivos y motrices, así como el uso de materiales que incentiven el movimiento tales como: mecates, elásticos, bolas, aros, colchonetas, pañuelos, entre otros. Se promueven juegos dirigidos en inglés para favorecer el desarrollo psicomotor, patrones de movimiento, recreación, juego, creatividad y gozo.</w:t>
            </w:r>
          </w:p>
        </w:tc>
      </w:tr>
      <w:tr w:rsidR="00FC36CD" w:rsidRPr="00876E7C" w14:paraId="3C172764" w14:textId="77777777" w:rsidTr="009C5FF3">
        <w:tc>
          <w:tcPr>
            <w:tcW w:w="1705" w:type="dxa"/>
            <w:vAlign w:val="center"/>
          </w:tcPr>
          <w:p w14:paraId="586302C4" w14:textId="77777777" w:rsidR="00FC36CD" w:rsidRPr="00876E7C" w:rsidRDefault="00FC36CD" w:rsidP="009C5FF3">
            <w:pPr>
              <w:spacing w:after="0"/>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lastRenderedPageBreak/>
              <w:t>Experiencia de Fortalecimiento Integral de los Aprendizajes</w:t>
            </w:r>
          </w:p>
        </w:tc>
        <w:tc>
          <w:tcPr>
            <w:tcW w:w="12545" w:type="dxa"/>
            <w:gridSpan w:val="5"/>
          </w:tcPr>
          <w:p w14:paraId="696E0087" w14:textId="77777777" w:rsidR="00FC36CD" w:rsidRPr="00876E7C" w:rsidRDefault="00FC36CD" w:rsidP="009C5FF3">
            <w:pPr>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Es el momento para potenciar en los niños y las niñas las competencias lingüísticas, las habilidades y los aprendizajes en el idioma extranjero en un marco de equidad. Puede retomar lo que considere importante para el logro de la competencia lingüística.</w:t>
            </w:r>
            <w:r>
              <w:rPr>
                <w:rFonts w:ascii="HendersonSansW00-BasicLight" w:eastAsia="Arial MT" w:hAnsi="HendersonSansW00-BasicLight" w:cs="Arial"/>
                <w:lang w:val="es-ES" w:eastAsia="en-US"/>
              </w:rPr>
              <w:t xml:space="preserve"> Se inicia a partir de abril</w:t>
            </w:r>
          </w:p>
        </w:tc>
      </w:tr>
      <w:tr w:rsidR="00FC36CD" w:rsidRPr="00876E7C" w14:paraId="6059AFFE" w14:textId="77777777" w:rsidTr="009C5FF3">
        <w:tc>
          <w:tcPr>
            <w:tcW w:w="1705" w:type="dxa"/>
          </w:tcPr>
          <w:p w14:paraId="5F4EF3D4" w14:textId="77777777" w:rsidR="00FC36CD" w:rsidRPr="00876E7C" w:rsidRDefault="00FC36CD" w:rsidP="009C5FF3">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Experiencias para el desarrollo de la Expresión Artística, cierre y despedida</w:t>
            </w:r>
          </w:p>
        </w:tc>
        <w:tc>
          <w:tcPr>
            <w:tcW w:w="12545" w:type="dxa"/>
            <w:gridSpan w:val="5"/>
          </w:tcPr>
          <w:p w14:paraId="72ECF74F" w14:textId="77777777" w:rsidR="00FC36CD" w:rsidRPr="00876E7C" w:rsidRDefault="00FC36CD" w:rsidP="009C5FF3">
            <w:pPr>
              <w:autoSpaceDE w:val="0"/>
              <w:autoSpaceDN w:val="0"/>
              <w:adjustRightInd w:val="0"/>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Es el momento para expresar, comprender, apreciar y disfrutar el arte, por medio de diferentes manifestaciones, tales como: Artes escénicas (bailes, coreografías, cuenta cuentos, danzas folclóricas, poesía coral, teatro, pasacalles, títeres, entre otros), Artes visuales (dibujo, escultura, pintura, grafiti, producción audiovisual, fotografía, entre otros), Artes literarias (cuentos, leyendas, poesías, fábulas, trabalenguas, rimas, retahílas, entre otros), Artes musicales (canciones, coros, bandas, cimarronas, exploración y creación de instrumentos musicales, entre otros), todas las anteriores en la lengua extranjera. Además, pueden utilizar los diversos materiales de los ambientes de aprendizaje, para el desarrollo de las manifestaciones artísticas en inglés.</w:t>
            </w:r>
          </w:p>
          <w:p w14:paraId="07D8961A" w14:textId="77777777" w:rsidR="00FC36CD" w:rsidRPr="00876E7C" w:rsidRDefault="00FC36CD" w:rsidP="009C5FF3">
            <w:pPr>
              <w:autoSpaceDE w:val="0"/>
              <w:autoSpaceDN w:val="0"/>
              <w:adjustRightInd w:val="0"/>
              <w:spacing w:after="0"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 xml:space="preserve">El cierre es el momento final de la jornada en el cual el personal docente en conjunto con el estudiantado realiza un recuento por medio de procesos metalingüísticos de la actividad desarrollada. </w:t>
            </w:r>
          </w:p>
          <w:p w14:paraId="1B03156D" w14:textId="77777777" w:rsidR="00FC36CD" w:rsidRPr="00876E7C" w:rsidRDefault="00FC36CD" w:rsidP="009C5FF3">
            <w:pPr>
              <w:autoSpaceDE w:val="0"/>
              <w:autoSpaceDN w:val="0"/>
              <w:adjustRightInd w:val="0"/>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Se recomienda que el personal docente se despida personalmente de cada niño y niña con una mirada y un gesto amable. En los últimos 5 minutos el personal docente se prepara para entregar a los niños y a las niñas a sus respectivas familias, posteriormente registra en la crónica semanal los aspectos más relevantes.</w:t>
            </w:r>
          </w:p>
        </w:tc>
      </w:tr>
    </w:tbl>
    <w:p w14:paraId="6BC1825B" w14:textId="77777777" w:rsidR="00FC36CD" w:rsidRDefault="00FC36CD" w:rsidP="00FC36CD">
      <w:pPr>
        <w:rPr>
          <w:rFonts w:ascii="HendersonSansW00-BasicLight" w:eastAsia="Arial MT" w:hAnsi="HendersonSansW00-BasicLight" w:cs="Arial"/>
          <w:b/>
          <w:bCs/>
          <w:lang w:val="es-ES" w:eastAsia="en-US"/>
        </w:rPr>
      </w:pPr>
    </w:p>
    <w:p w14:paraId="79B2CA27" w14:textId="77777777" w:rsidR="00FC36CD" w:rsidRDefault="00FC36CD" w:rsidP="00FC36CD">
      <w:pPr>
        <w:spacing w:after="0" w:line="240" w:lineRule="auto"/>
        <w:rPr>
          <w:rFonts w:ascii="HendersonSansW00-BasicLight" w:eastAsia="Arial MT" w:hAnsi="HendersonSansW00-BasicLight" w:cs="Arial"/>
          <w:b/>
          <w:bCs/>
          <w:lang w:val="es-ES" w:eastAsia="en-US"/>
        </w:rPr>
      </w:pPr>
      <w:r>
        <w:rPr>
          <w:rFonts w:ascii="HendersonSansW00-BasicLight" w:eastAsia="Arial MT" w:hAnsi="HendersonSansW00-BasicLight" w:cs="Arial"/>
          <w:b/>
          <w:bCs/>
          <w:lang w:val="es-ES" w:eastAsia="en-US"/>
        </w:rPr>
        <w:br w:type="page"/>
      </w:r>
    </w:p>
    <w:p w14:paraId="5B0225FD" w14:textId="77777777" w:rsidR="00FC36CD" w:rsidRPr="00876E7C" w:rsidRDefault="00FC36CD" w:rsidP="00FC36CD">
      <w:pPr>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lastRenderedPageBreak/>
        <w:t>Sección III. Instrumentos de evaluación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2"/>
        <w:gridCol w:w="2593"/>
        <w:gridCol w:w="2913"/>
        <w:gridCol w:w="2913"/>
        <w:gridCol w:w="3593"/>
      </w:tblGrid>
      <w:tr w:rsidR="00FC36CD" w:rsidRPr="00876E7C" w14:paraId="2E6F6AD6" w14:textId="77777777" w:rsidTr="009C5FF3">
        <w:trPr>
          <w:tblHeader/>
        </w:trPr>
        <w:tc>
          <w:tcPr>
            <w:tcW w:w="2002" w:type="dxa"/>
            <w:vMerge w:val="restart"/>
          </w:tcPr>
          <w:p w14:paraId="7C78436F"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Competencias lingüísticas</w:t>
            </w:r>
          </w:p>
        </w:tc>
        <w:tc>
          <w:tcPr>
            <w:tcW w:w="2642" w:type="dxa"/>
            <w:vMerge w:val="restart"/>
          </w:tcPr>
          <w:p w14:paraId="2CBFE213"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Indicadores del aprendizaje esperado</w:t>
            </w:r>
          </w:p>
        </w:tc>
        <w:tc>
          <w:tcPr>
            <w:tcW w:w="9639" w:type="dxa"/>
            <w:gridSpan w:val="3"/>
          </w:tcPr>
          <w:p w14:paraId="5850CA58" w14:textId="77777777" w:rsidR="00FC36CD" w:rsidRPr="00876E7C" w:rsidRDefault="00FC36CD" w:rsidP="009C5FF3">
            <w:pPr>
              <w:spacing w:line="360" w:lineRule="auto"/>
              <w:jc w:val="center"/>
              <w:rPr>
                <w:rFonts w:ascii="HendersonSansW00-BasicLight" w:eastAsia="Calibri" w:hAnsi="HendersonSansW00-BasicLight"/>
              </w:rPr>
            </w:pPr>
            <w:r w:rsidRPr="00876E7C">
              <w:rPr>
                <w:rFonts w:ascii="HendersonSansW00-BasicLight" w:eastAsia="Arial MT" w:hAnsi="HendersonSansW00-BasicLight" w:cs="Arial"/>
                <w:b/>
                <w:bCs/>
                <w:lang w:val="es-ES" w:eastAsia="en-US"/>
              </w:rPr>
              <w:t>Proceso</w:t>
            </w:r>
          </w:p>
        </w:tc>
      </w:tr>
      <w:tr w:rsidR="00FC36CD" w:rsidRPr="00876E7C" w14:paraId="61106757" w14:textId="77777777" w:rsidTr="009C5FF3">
        <w:trPr>
          <w:tblHeader/>
        </w:trPr>
        <w:tc>
          <w:tcPr>
            <w:tcW w:w="2002" w:type="dxa"/>
            <w:vMerge/>
          </w:tcPr>
          <w:p w14:paraId="0362578E" w14:textId="77777777" w:rsidR="00FC36CD" w:rsidRPr="00876E7C" w:rsidRDefault="00FC36CD" w:rsidP="009C5FF3">
            <w:pPr>
              <w:spacing w:line="360" w:lineRule="auto"/>
              <w:rPr>
                <w:rFonts w:ascii="HendersonSansW00-BasicLight" w:eastAsia="Calibri" w:hAnsi="HendersonSansW00-BasicLight"/>
              </w:rPr>
            </w:pPr>
          </w:p>
        </w:tc>
        <w:tc>
          <w:tcPr>
            <w:tcW w:w="2642" w:type="dxa"/>
            <w:vMerge/>
          </w:tcPr>
          <w:p w14:paraId="6EC5A4D2" w14:textId="77777777" w:rsidR="00FC36CD" w:rsidRPr="00876E7C" w:rsidRDefault="00FC36CD" w:rsidP="009C5FF3">
            <w:pPr>
              <w:spacing w:line="360" w:lineRule="auto"/>
              <w:rPr>
                <w:rFonts w:ascii="HendersonSansW00-BasicLight" w:eastAsia="Calibri" w:hAnsi="HendersonSansW00-BasicLight"/>
              </w:rPr>
            </w:pPr>
          </w:p>
        </w:tc>
        <w:tc>
          <w:tcPr>
            <w:tcW w:w="2977" w:type="dxa"/>
          </w:tcPr>
          <w:p w14:paraId="2F50FC02"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Inicial</w:t>
            </w:r>
          </w:p>
        </w:tc>
        <w:tc>
          <w:tcPr>
            <w:tcW w:w="2977" w:type="dxa"/>
          </w:tcPr>
          <w:p w14:paraId="50E0ABF9" w14:textId="77777777" w:rsidR="00FC36CD" w:rsidRPr="00876E7C" w:rsidRDefault="00FC36CD" w:rsidP="009C5FF3">
            <w:pPr>
              <w:spacing w:line="360" w:lineRule="auto"/>
              <w:jc w:val="center"/>
              <w:rPr>
                <w:rFonts w:ascii="HendersonSansW00-BasicLight" w:eastAsia="Calibri" w:hAnsi="HendersonSansW00-BasicLight"/>
              </w:rPr>
            </w:pPr>
            <w:r w:rsidRPr="00876E7C">
              <w:rPr>
                <w:rFonts w:ascii="HendersonSansW00-BasicLight" w:eastAsia="Arial MT" w:hAnsi="HendersonSansW00-BasicLight" w:cs="Arial"/>
                <w:b/>
                <w:bCs/>
                <w:lang w:val="es-ES" w:eastAsia="en-US"/>
              </w:rPr>
              <w:t>Intermedio</w:t>
            </w:r>
          </w:p>
        </w:tc>
        <w:tc>
          <w:tcPr>
            <w:tcW w:w="3685" w:type="dxa"/>
          </w:tcPr>
          <w:p w14:paraId="563241BA"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Avanzado</w:t>
            </w:r>
          </w:p>
        </w:tc>
      </w:tr>
      <w:tr w:rsidR="00FC36CD" w:rsidRPr="00876E7C" w14:paraId="020C3F31" w14:textId="77777777" w:rsidTr="009C5FF3">
        <w:tc>
          <w:tcPr>
            <w:tcW w:w="2002" w:type="dxa"/>
          </w:tcPr>
          <w:p w14:paraId="4D596E97"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Expresión oral</w:t>
            </w:r>
          </w:p>
        </w:tc>
        <w:tc>
          <w:tcPr>
            <w:tcW w:w="2642" w:type="dxa"/>
          </w:tcPr>
          <w:p w14:paraId="7AF4659A" w14:textId="77777777" w:rsidR="00FC36CD" w:rsidRPr="00876E7C" w:rsidRDefault="00FC36CD" w:rsidP="009C5FF3">
            <w:pPr>
              <w:spacing w:after="0" w:line="360" w:lineRule="auto"/>
              <w:contextualSpacing/>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Comunica sus ideas con frases sencillas con apoyo de múltiples recursos.</w:t>
            </w:r>
          </w:p>
        </w:tc>
        <w:tc>
          <w:tcPr>
            <w:tcW w:w="2977" w:type="dxa"/>
          </w:tcPr>
          <w:p w14:paraId="0CEAC17B"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Identifica frases sencillas para comunicarse por medio de múltiples recursos</w:t>
            </w:r>
          </w:p>
        </w:tc>
        <w:tc>
          <w:tcPr>
            <w:tcW w:w="2977" w:type="dxa"/>
          </w:tcPr>
          <w:p w14:paraId="250D3AF7"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Reconoce diferentes frases sencillas para comunicarse por medio de múltiples recursos.</w:t>
            </w:r>
          </w:p>
        </w:tc>
        <w:tc>
          <w:tcPr>
            <w:tcW w:w="3685" w:type="dxa"/>
          </w:tcPr>
          <w:p w14:paraId="079BE0D0"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Expresa diferentes frases sencillas para comunicarse por medio de múltiples recursos.</w:t>
            </w:r>
          </w:p>
        </w:tc>
      </w:tr>
      <w:tr w:rsidR="00FC36CD" w:rsidRPr="00876E7C" w14:paraId="751CFEC7" w14:textId="77777777" w:rsidTr="009C5FF3">
        <w:tc>
          <w:tcPr>
            <w:tcW w:w="2002" w:type="dxa"/>
          </w:tcPr>
          <w:p w14:paraId="2AE0F40C"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Expresión oral</w:t>
            </w:r>
          </w:p>
        </w:tc>
        <w:tc>
          <w:tcPr>
            <w:tcW w:w="2642" w:type="dxa"/>
          </w:tcPr>
          <w:p w14:paraId="12FF4183" w14:textId="77777777" w:rsidR="00FC36CD" w:rsidRPr="00876E7C" w:rsidRDefault="00FC36CD" w:rsidP="009C5FF3">
            <w:pPr>
              <w:spacing w:after="0" w:line="360" w:lineRule="auto"/>
              <w:contextualSpacing/>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Manifiesta de forma oral sentimientos y emociones por medio de diferentes recursos auditivos y visuales.</w:t>
            </w:r>
          </w:p>
        </w:tc>
        <w:tc>
          <w:tcPr>
            <w:tcW w:w="2977" w:type="dxa"/>
          </w:tcPr>
          <w:p w14:paraId="6580FE34"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Expresa sus sentimientos y emociones por medio de diferentes recursos auditivos y visuales.</w:t>
            </w:r>
          </w:p>
        </w:tc>
        <w:tc>
          <w:tcPr>
            <w:tcW w:w="2977" w:type="dxa"/>
          </w:tcPr>
          <w:p w14:paraId="20A4F2E6"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Menciona, con ideas sencillas sus sentimientos y emociones por medio de diferentes recursos auditivos y visuales.</w:t>
            </w:r>
          </w:p>
        </w:tc>
        <w:tc>
          <w:tcPr>
            <w:tcW w:w="3685" w:type="dxa"/>
          </w:tcPr>
          <w:p w14:paraId="73072B82"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Comunica, con claridad, sus sentimientos y emociones por medio de diferentes recursos auditivos y visuales.</w:t>
            </w:r>
          </w:p>
        </w:tc>
      </w:tr>
      <w:tr w:rsidR="00FC36CD" w:rsidRPr="00876E7C" w14:paraId="5913A463" w14:textId="77777777" w:rsidTr="009C5FF3">
        <w:tc>
          <w:tcPr>
            <w:tcW w:w="2002" w:type="dxa"/>
          </w:tcPr>
          <w:p w14:paraId="74670F80" w14:textId="77777777" w:rsidR="00FC36CD" w:rsidRPr="00876E7C" w:rsidRDefault="00FC36CD" w:rsidP="009C5FF3">
            <w:pPr>
              <w:spacing w:line="360" w:lineRule="auto"/>
              <w:rPr>
                <w:rFonts w:ascii="HendersonSansW00-BasicLight" w:eastAsia="Arial MT" w:hAnsi="HendersonSansW00-BasicLight" w:cs="Arial"/>
                <w:b/>
                <w:bCs/>
                <w:lang w:val="es-ES" w:eastAsia="en-US"/>
              </w:rPr>
            </w:pPr>
            <w:r w:rsidRPr="00876E7C">
              <w:rPr>
                <w:rFonts w:ascii="HendersonSansW00-BasicLight" w:eastAsia="Arial MT" w:hAnsi="HendersonSansW00-BasicLight" w:cs="Arial"/>
                <w:b/>
                <w:bCs/>
                <w:lang w:val="es-ES" w:eastAsia="en-US"/>
              </w:rPr>
              <w:t>Expresión oral</w:t>
            </w:r>
          </w:p>
        </w:tc>
        <w:tc>
          <w:tcPr>
            <w:tcW w:w="2642" w:type="dxa"/>
          </w:tcPr>
          <w:p w14:paraId="30CAA167"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Manifiesta actitudes de seguridad, al comunicarse de forma natural con otras personas.</w:t>
            </w:r>
          </w:p>
          <w:p w14:paraId="689EC8A7" w14:textId="77777777" w:rsidR="00FC36CD" w:rsidRPr="00876E7C" w:rsidRDefault="00FC36CD" w:rsidP="009C5FF3">
            <w:pPr>
              <w:spacing w:after="0" w:line="360" w:lineRule="auto"/>
              <w:contextualSpacing/>
              <w:rPr>
                <w:rFonts w:ascii="HendersonSansW00-BasicLight" w:eastAsia="Arial MT" w:hAnsi="HendersonSansW00-BasicLight" w:cs="Arial"/>
                <w:lang w:val="es-ES" w:eastAsia="en-US"/>
              </w:rPr>
            </w:pPr>
          </w:p>
        </w:tc>
        <w:tc>
          <w:tcPr>
            <w:tcW w:w="2977" w:type="dxa"/>
          </w:tcPr>
          <w:p w14:paraId="2E849F83"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Identifica vocabulario conocido que le permita comunicarse de forma segura con otras personas.</w:t>
            </w:r>
          </w:p>
        </w:tc>
        <w:tc>
          <w:tcPr>
            <w:tcW w:w="2977" w:type="dxa"/>
          </w:tcPr>
          <w:p w14:paraId="30E82D32"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Reconoce frases sencillas que le permita comunicarse de forma segura con otras personas.</w:t>
            </w:r>
          </w:p>
        </w:tc>
        <w:tc>
          <w:tcPr>
            <w:tcW w:w="3685" w:type="dxa"/>
          </w:tcPr>
          <w:p w14:paraId="561AB160"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Expresa oraciones simples que le permita comunicarse de forma segura con otras personas</w:t>
            </w:r>
          </w:p>
        </w:tc>
      </w:tr>
      <w:tr w:rsidR="00FC36CD" w:rsidRPr="00876E7C" w14:paraId="478E791B" w14:textId="77777777" w:rsidTr="009C5FF3">
        <w:tc>
          <w:tcPr>
            <w:tcW w:w="2002" w:type="dxa"/>
          </w:tcPr>
          <w:p w14:paraId="6196551C"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lastRenderedPageBreak/>
              <w:t>Comprensión oral</w:t>
            </w:r>
          </w:p>
        </w:tc>
        <w:tc>
          <w:tcPr>
            <w:tcW w:w="2642" w:type="dxa"/>
          </w:tcPr>
          <w:p w14:paraId="5F4C09A2"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Comprende vocabulario, frases y oraciones de uso frecuente para comunicarse con otras personas</w:t>
            </w:r>
          </w:p>
        </w:tc>
        <w:tc>
          <w:tcPr>
            <w:tcW w:w="2977" w:type="dxa"/>
          </w:tcPr>
          <w:p w14:paraId="031A6C5D"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Menciona vocabulario conocido para comunicarse con otras personas.</w:t>
            </w:r>
          </w:p>
        </w:tc>
        <w:tc>
          <w:tcPr>
            <w:tcW w:w="2977" w:type="dxa"/>
          </w:tcPr>
          <w:p w14:paraId="27BBDD77"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Relaciona diferentes palabras del vocabulario conocido para comunicarse con otras personas por medio del uso de frases frecuentes.</w:t>
            </w:r>
          </w:p>
        </w:tc>
        <w:tc>
          <w:tcPr>
            <w:tcW w:w="3685" w:type="dxa"/>
          </w:tcPr>
          <w:p w14:paraId="6D2BE21E"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Interpreta vocabulario, frases y oraciones de uso frecuente para comunicarse con otras personas.</w:t>
            </w:r>
          </w:p>
        </w:tc>
      </w:tr>
      <w:tr w:rsidR="00FC36CD" w:rsidRPr="00876E7C" w14:paraId="7C0A99E7" w14:textId="77777777" w:rsidTr="009C5FF3">
        <w:tc>
          <w:tcPr>
            <w:tcW w:w="2002" w:type="dxa"/>
          </w:tcPr>
          <w:p w14:paraId="3FC8E357"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b/>
                <w:bCs/>
                <w:lang w:val="es-ES" w:eastAsia="en-US"/>
              </w:rPr>
              <w:t>Comprensión oral</w:t>
            </w:r>
          </w:p>
        </w:tc>
        <w:tc>
          <w:tcPr>
            <w:tcW w:w="2642" w:type="dxa"/>
          </w:tcPr>
          <w:p w14:paraId="18C654FA" w14:textId="77777777" w:rsidR="00FC36CD" w:rsidRPr="00876E7C" w:rsidRDefault="00FC36CD" w:rsidP="009C5FF3">
            <w:pPr>
              <w:spacing w:line="360" w:lineRule="auto"/>
              <w:rPr>
                <w:rFonts w:ascii="HendersonSansW00-BasicLight" w:eastAsia="Arial MT" w:hAnsi="HendersonSansW00-BasicLight" w:cs="Arial"/>
                <w:lang w:val="es-ES" w:eastAsia="en-US"/>
              </w:rPr>
            </w:pPr>
            <w:r w:rsidRPr="00876E7C">
              <w:rPr>
                <w:rFonts w:ascii="HendersonSansW00-BasicLight" w:eastAsia="Arial MT" w:hAnsi="HendersonSansW00-BasicLight" w:cs="Arial"/>
                <w:lang w:val="es-ES" w:eastAsia="en-US"/>
              </w:rPr>
              <w:t>Comprende diversos mensajes orales y visuales presentes en las interacciones de las diferentes situaciones de la vida cotidiana.</w:t>
            </w:r>
          </w:p>
        </w:tc>
        <w:tc>
          <w:tcPr>
            <w:tcW w:w="2977" w:type="dxa"/>
          </w:tcPr>
          <w:p w14:paraId="0BB6C288"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Identifica mensajes orales y visuales presentes en las situaciones de la vida cotidiana.</w:t>
            </w:r>
          </w:p>
        </w:tc>
        <w:tc>
          <w:tcPr>
            <w:tcW w:w="2977" w:type="dxa"/>
          </w:tcPr>
          <w:p w14:paraId="7D51885C"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Reconoce mensajes orales y visuales presentes en las situaciones de la vida cotidiana.</w:t>
            </w:r>
          </w:p>
        </w:tc>
        <w:tc>
          <w:tcPr>
            <w:tcW w:w="3685" w:type="dxa"/>
          </w:tcPr>
          <w:p w14:paraId="3BE93106" w14:textId="77777777" w:rsidR="00FC36CD" w:rsidRPr="00876E7C" w:rsidRDefault="00FC36CD" w:rsidP="009C5FF3">
            <w:pPr>
              <w:spacing w:line="360" w:lineRule="auto"/>
              <w:rPr>
                <w:rFonts w:ascii="HendersonSansW00-BasicLight" w:eastAsia="Calibri" w:hAnsi="HendersonSansW00-BasicLight"/>
              </w:rPr>
            </w:pPr>
            <w:r w:rsidRPr="00876E7C">
              <w:rPr>
                <w:rFonts w:ascii="HendersonSansW00-BasicLight" w:eastAsia="Arial MT" w:hAnsi="HendersonSansW00-BasicLight" w:cs="Arial"/>
                <w:lang w:val="es-ES" w:eastAsia="en-US"/>
              </w:rPr>
              <w:t>Interpreta diversos mensajes orales y visuales presentes en las situaciones de la vida cotidiana.</w:t>
            </w:r>
          </w:p>
        </w:tc>
      </w:tr>
    </w:tbl>
    <w:p w14:paraId="3DBF343F" w14:textId="77777777" w:rsidR="00FC36CD" w:rsidRPr="00876E7C" w:rsidRDefault="00FC36CD" w:rsidP="00FC36CD">
      <w:pPr>
        <w:rPr>
          <w:rFonts w:ascii="HendersonSansW00-BasicLight" w:eastAsia="Calibri" w:hAnsi="HendersonSansW00-BasicLight" w:cs="Arial"/>
          <w:b/>
          <w:lang w:val="es-ES" w:eastAsia="en-US"/>
        </w:rPr>
      </w:pPr>
      <w:r w:rsidRPr="00876E7C">
        <w:rPr>
          <w:rFonts w:ascii="HendersonSansW00-BasicLight" w:eastAsia="Calibri" w:hAnsi="HendersonSansW00-BasicLight" w:cs="Arial"/>
          <w:b/>
          <w:lang w:val="es-ES" w:eastAsia="en-US"/>
        </w:rPr>
        <w:br w:type="page"/>
      </w:r>
    </w:p>
    <w:p w14:paraId="56F887E2" w14:textId="77777777" w:rsidR="00FC36CD" w:rsidRPr="00FC36CD" w:rsidRDefault="00FC36CD">
      <w:pPr>
        <w:rPr>
          <w:lang w:val="es-ES"/>
        </w:rPr>
      </w:pPr>
    </w:p>
    <w:sectPr w:rsidR="00FC36CD" w:rsidRPr="00FC36CD" w:rsidSect="00FC36CD">
      <w:headerReference w:type="default" r:id="rId8"/>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D5F4D4" w14:textId="77777777" w:rsidR="00AD6AD2" w:rsidRDefault="00AD6AD2" w:rsidP="00FC36CD">
      <w:pPr>
        <w:spacing w:after="0" w:line="240" w:lineRule="auto"/>
      </w:pPr>
      <w:r>
        <w:separator/>
      </w:r>
    </w:p>
  </w:endnote>
  <w:endnote w:type="continuationSeparator" w:id="0">
    <w:p w14:paraId="6C3C17BE" w14:textId="77777777" w:rsidR="00AD6AD2" w:rsidRDefault="00AD6AD2" w:rsidP="00FC36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ndersonSansW00-BasicLight">
    <w:altName w:val="Calibri"/>
    <w:charset w:val="00"/>
    <w:family w:val="auto"/>
    <w:pitch w:val="variable"/>
    <w:sig w:usb0="A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MT">
    <w:altName w:val="Aptos Display"/>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0016FE" w14:textId="77777777" w:rsidR="00AD6AD2" w:rsidRDefault="00AD6AD2" w:rsidP="00FC36CD">
      <w:pPr>
        <w:spacing w:after="0" w:line="240" w:lineRule="auto"/>
      </w:pPr>
      <w:r>
        <w:separator/>
      </w:r>
    </w:p>
  </w:footnote>
  <w:footnote w:type="continuationSeparator" w:id="0">
    <w:p w14:paraId="7A8D9561" w14:textId="77777777" w:rsidR="00AD6AD2" w:rsidRDefault="00AD6AD2" w:rsidP="00FC36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EBB04" w14:textId="57BBCA06" w:rsidR="00FC36CD" w:rsidRDefault="00FC36CD">
    <w:pPr>
      <w:pStyle w:val="Encabezado"/>
    </w:pPr>
    <w:r w:rsidRPr="00FC36CD">
      <w:drawing>
        <wp:anchor distT="0" distB="0" distL="114300" distR="114300" simplePos="0" relativeHeight="251658240" behindDoc="1" locked="0" layoutInCell="1" allowOverlap="1" wp14:anchorId="5A422936" wp14:editId="0430FD6F">
          <wp:simplePos x="0" y="0"/>
          <wp:positionH relativeFrom="column">
            <wp:posOffset>167005</wp:posOffset>
          </wp:positionH>
          <wp:positionV relativeFrom="paragraph">
            <wp:posOffset>-240030</wp:posOffset>
          </wp:positionV>
          <wp:extent cx="8591550" cy="560070"/>
          <wp:effectExtent l="0" t="0" r="0" b="0"/>
          <wp:wrapTight wrapText="bothSides">
            <wp:wrapPolygon edited="0">
              <wp:start x="0" y="0"/>
              <wp:lineTo x="0" y="20571"/>
              <wp:lineTo x="21552" y="20571"/>
              <wp:lineTo x="21552" y="0"/>
              <wp:lineTo x="0" y="0"/>
            </wp:wrapPolygon>
          </wp:wrapTight>
          <wp:docPr id="1134675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75376" name=""/>
                  <pic:cNvPicPr/>
                </pic:nvPicPr>
                <pic:blipFill>
                  <a:blip r:embed="rId1">
                    <a:extLst>
                      <a:ext uri="{28A0092B-C50C-407E-A947-70E740481C1C}">
                        <a14:useLocalDpi xmlns:a14="http://schemas.microsoft.com/office/drawing/2010/main" val="0"/>
                      </a:ext>
                    </a:extLst>
                  </a:blip>
                  <a:stretch>
                    <a:fillRect/>
                  </a:stretch>
                </pic:blipFill>
                <pic:spPr>
                  <a:xfrm>
                    <a:off x="0" y="0"/>
                    <a:ext cx="8591550" cy="5600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6CD"/>
    <w:rsid w:val="005D5D58"/>
    <w:rsid w:val="00AD6AD2"/>
    <w:rsid w:val="00FC36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27413"/>
  <w15:chartTrackingRefBased/>
  <w15:docId w15:val="{F0DE426D-F65D-4B84-A05B-103609AAA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6CD"/>
    <w:rPr>
      <w:rFonts w:ascii="Calibri" w:eastAsia="Malgun Gothic" w:hAnsi="Calibri" w:cs="Times New Roman"/>
      <w:kern w:val="0"/>
      <w:lang w:val="es-CR" w:eastAsia="ko-KR"/>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FC36CD"/>
    <w:rPr>
      <w:color w:val="0563C1"/>
      <w:u w:val="single"/>
    </w:rPr>
  </w:style>
  <w:style w:type="paragraph" w:styleId="Encabezado">
    <w:name w:val="header"/>
    <w:basedOn w:val="Normal"/>
    <w:link w:val="EncabezadoCar"/>
    <w:uiPriority w:val="99"/>
    <w:unhideWhenUsed/>
    <w:rsid w:val="00FC36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36CD"/>
    <w:rPr>
      <w:rFonts w:ascii="Calibri" w:eastAsia="Malgun Gothic" w:hAnsi="Calibri" w:cs="Times New Roman"/>
      <w:kern w:val="0"/>
      <w:lang w:val="es-CR" w:eastAsia="ko-KR"/>
      <w14:ligatures w14:val="none"/>
    </w:rPr>
  </w:style>
  <w:style w:type="paragraph" w:styleId="Piedepgina">
    <w:name w:val="footer"/>
    <w:basedOn w:val="Normal"/>
    <w:link w:val="PiedepginaCar"/>
    <w:uiPriority w:val="99"/>
    <w:unhideWhenUsed/>
    <w:rsid w:val="00FC36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36CD"/>
    <w:rPr>
      <w:rFonts w:ascii="Calibri" w:eastAsia="Malgun Gothic" w:hAnsi="Calibri" w:cs="Times New Roman"/>
      <w:kern w:val="0"/>
      <w:lang w:val="es-CR"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dc.mep.go.cr/educacion-primera-infanc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cnoideaspreescol.wixsite.com/tecnoidea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1307</Words>
  <Characters>7189</Characters>
  <Application>Microsoft Office Word</Application>
  <DocSecurity>0</DocSecurity>
  <Lines>59</Lines>
  <Paragraphs>16</Paragraphs>
  <ScaleCrop>false</ScaleCrop>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Ofelia Montoya Garcia</dc:creator>
  <cp:keywords/>
  <dc:description/>
  <cp:lastModifiedBy>Ofelia Montoya Garcia</cp:lastModifiedBy>
  <cp:revision>1</cp:revision>
  <dcterms:created xsi:type="dcterms:W3CDTF">2025-01-28T22:03:00Z</dcterms:created>
  <dcterms:modified xsi:type="dcterms:W3CDTF">2025-01-28T22:05:00Z</dcterms:modified>
</cp:coreProperties>
</file>